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9" w:rsidRDefault="00F12D99" w:rsidP="00F12D9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A1216">
        <w:rPr>
          <w:rFonts w:ascii="Times New Roman" w:hAnsi="Times New Roman"/>
          <w:b/>
          <w:sz w:val="24"/>
          <w:szCs w:val="20"/>
        </w:rPr>
        <w:t xml:space="preserve">Муниципальное </w:t>
      </w:r>
      <w:r>
        <w:rPr>
          <w:rFonts w:ascii="Times New Roman" w:hAnsi="Times New Roman"/>
          <w:b/>
          <w:sz w:val="24"/>
          <w:szCs w:val="20"/>
        </w:rPr>
        <w:t xml:space="preserve">казенное </w:t>
      </w:r>
      <w:r w:rsidRPr="00DA1216">
        <w:rPr>
          <w:rFonts w:ascii="Times New Roman" w:hAnsi="Times New Roman"/>
          <w:b/>
          <w:sz w:val="24"/>
          <w:szCs w:val="20"/>
        </w:rPr>
        <w:t>общеобразовательное учреждение</w:t>
      </w:r>
    </w:p>
    <w:p w:rsidR="00F12D99" w:rsidRDefault="00F12D99" w:rsidP="00F12D9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DA1216">
        <w:rPr>
          <w:rFonts w:ascii="Times New Roman" w:hAnsi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DA1216">
        <w:rPr>
          <w:rFonts w:ascii="Times New Roman" w:hAnsi="Times New Roman"/>
          <w:b/>
          <w:sz w:val="24"/>
          <w:szCs w:val="20"/>
        </w:rPr>
        <w:t>.К</w:t>
      </w:r>
      <w:proofErr w:type="gramEnd"/>
      <w:r w:rsidRPr="00DA1216">
        <w:rPr>
          <w:rFonts w:ascii="Times New Roman" w:hAnsi="Times New Roman"/>
          <w:b/>
          <w:sz w:val="24"/>
          <w:szCs w:val="20"/>
        </w:rPr>
        <w:t>арагач»</w:t>
      </w:r>
    </w:p>
    <w:p w:rsidR="00F12D99" w:rsidRDefault="00DE4410" w:rsidP="00F12D9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59055</wp:posOffset>
            </wp:positionV>
            <wp:extent cx="1966595" cy="19373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12D99" w:rsidRPr="00DA1216">
        <w:rPr>
          <w:rFonts w:ascii="Times New Roman" w:hAnsi="Times New Roman"/>
          <w:b/>
          <w:sz w:val="24"/>
          <w:szCs w:val="20"/>
        </w:rPr>
        <w:t>Прохладненского</w:t>
      </w:r>
      <w:proofErr w:type="spellEnd"/>
      <w:r w:rsidR="00F12D99" w:rsidRPr="00DA1216">
        <w:rPr>
          <w:rFonts w:ascii="Times New Roman" w:hAnsi="Times New Roman"/>
          <w:b/>
          <w:sz w:val="24"/>
          <w:szCs w:val="20"/>
        </w:rPr>
        <w:t xml:space="preserve"> муниципального района КБР</w:t>
      </w:r>
    </w:p>
    <w:p w:rsidR="00F12D99" w:rsidRDefault="00F12D99" w:rsidP="00F12D99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F12D99" w:rsidRDefault="00F12D99" w:rsidP="00F12D99">
      <w:pPr>
        <w:jc w:val="right"/>
        <w:rPr>
          <w:b/>
          <w:sz w:val="20"/>
          <w:szCs w:val="20"/>
        </w:rPr>
      </w:pPr>
    </w:p>
    <w:p w:rsidR="00F12D99" w:rsidRDefault="0079622F" w:rsidP="007962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Рассмотрено                                                                                                                                           </w:t>
      </w:r>
      <w:r w:rsidR="00F12D99">
        <w:rPr>
          <w:b/>
          <w:sz w:val="20"/>
          <w:szCs w:val="20"/>
        </w:rPr>
        <w:t>Утверждено</w:t>
      </w:r>
    </w:p>
    <w:p w:rsidR="00F12D99" w:rsidRPr="00764C34" w:rsidRDefault="0079622F" w:rsidP="007962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заседании Управляющего совета                                              </w:t>
      </w:r>
      <w:r w:rsidR="00F12D99" w:rsidRPr="00764C34">
        <w:rPr>
          <w:b/>
          <w:sz w:val="20"/>
          <w:szCs w:val="20"/>
        </w:rPr>
        <w:t xml:space="preserve"> приказ</w:t>
      </w:r>
      <w:r w:rsidR="00F12D99">
        <w:rPr>
          <w:b/>
          <w:sz w:val="20"/>
          <w:szCs w:val="20"/>
        </w:rPr>
        <w:t>ом</w:t>
      </w:r>
      <w:r w:rsidR="00F12D99" w:rsidRPr="00764C34">
        <w:rPr>
          <w:b/>
          <w:sz w:val="20"/>
          <w:szCs w:val="20"/>
        </w:rPr>
        <w:t xml:space="preserve"> МК</w:t>
      </w:r>
      <w:r w:rsidR="00F12D99">
        <w:rPr>
          <w:b/>
          <w:sz w:val="20"/>
          <w:szCs w:val="20"/>
        </w:rPr>
        <w:t>О</w:t>
      </w:r>
      <w:r w:rsidR="00F12D99" w:rsidRPr="00764C34">
        <w:rPr>
          <w:b/>
          <w:sz w:val="20"/>
          <w:szCs w:val="20"/>
        </w:rPr>
        <w:t>У</w:t>
      </w:r>
      <w:r w:rsidR="00F12D99">
        <w:rPr>
          <w:b/>
          <w:sz w:val="20"/>
          <w:szCs w:val="20"/>
        </w:rPr>
        <w:t xml:space="preserve"> "СОШ №2 с. Карагач"</w:t>
      </w:r>
      <w:r w:rsidR="00F12D99" w:rsidRPr="00764C34">
        <w:rPr>
          <w:b/>
          <w:sz w:val="20"/>
          <w:szCs w:val="20"/>
        </w:rPr>
        <w:t xml:space="preserve"> </w:t>
      </w:r>
    </w:p>
    <w:p w:rsidR="00F12D99" w:rsidRDefault="0079622F" w:rsidP="007962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От13.05.2013 г. №9                                                                                                                 </w:t>
      </w:r>
      <w:r w:rsidR="00F12D99" w:rsidRPr="00764C34">
        <w:rPr>
          <w:b/>
          <w:sz w:val="20"/>
          <w:szCs w:val="20"/>
        </w:rPr>
        <w:t>от 0</w:t>
      </w:r>
      <w:r w:rsidR="00F12D99">
        <w:rPr>
          <w:b/>
          <w:sz w:val="20"/>
          <w:szCs w:val="20"/>
        </w:rPr>
        <w:t>3</w:t>
      </w:r>
      <w:r w:rsidR="00F12D99" w:rsidRPr="00764C34">
        <w:rPr>
          <w:b/>
          <w:sz w:val="20"/>
          <w:szCs w:val="20"/>
        </w:rPr>
        <w:t xml:space="preserve">.06.2013 г. № </w:t>
      </w:r>
      <w:r w:rsidR="00F12D99">
        <w:rPr>
          <w:b/>
          <w:sz w:val="20"/>
          <w:szCs w:val="20"/>
        </w:rPr>
        <w:t>74/1</w:t>
      </w:r>
    </w:p>
    <w:p w:rsidR="00F12D99" w:rsidRDefault="0079622F" w:rsidP="0079622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___________________А.М.Багова</w:t>
      </w:r>
      <w:proofErr w:type="spellEnd"/>
      <w:r>
        <w:rPr>
          <w:b/>
          <w:sz w:val="20"/>
          <w:szCs w:val="20"/>
        </w:rPr>
        <w:t xml:space="preserve">                                                   </w:t>
      </w:r>
      <w:proofErr w:type="spellStart"/>
      <w:r w:rsidR="00F12D99">
        <w:rPr>
          <w:b/>
          <w:sz w:val="20"/>
          <w:szCs w:val="20"/>
        </w:rPr>
        <w:t>Директор_________________Т.Х.Заптиева</w:t>
      </w:r>
      <w:proofErr w:type="spellEnd"/>
    </w:p>
    <w:p w:rsidR="00F12D99" w:rsidRPr="00764C34" w:rsidRDefault="00F12D99" w:rsidP="00F12D99">
      <w:pPr>
        <w:jc w:val="right"/>
        <w:rPr>
          <w:b/>
          <w:sz w:val="20"/>
          <w:szCs w:val="20"/>
        </w:rPr>
      </w:pPr>
    </w:p>
    <w:p w:rsidR="00F12D99" w:rsidRPr="00F12D99" w:rsidRDefault="00F12D99" w:rsidP="00F12D99">
      <w:pPr>
        <w:jc w:val="center"/>
        <w:rPr>
          <w:b/>
        </w:rPr>
      </w:pPr>
      <w:r w:rsidRPr="00F12D99">
        <w:rPr>
          <w:b/>
        </w:rPr>
        <w:t>Порядок</w:t>
      </w:r>
    </w:p>
    <w:p w:rsidR="00F12D99" w:rsidRPr="00F12D99" w:rsidRDefault="00F12D99" w:rsidP="00F12D99">
      <w:pPr>
        <w:jc w:val="center"/>
        <w:rPr>
          <w:b/>
        </w:rPr>
      </w:pPr>
      <w:r w:rsidRPr="00F12D99">
        <w:rPr>
          <w:b/>
        </w:rPr>
        <w:t>подготовки Публичного доклада МКОУ "СОШ №2 с. Карагач"</w:t>
      </w:r>
    </w:p>
    <w:p w:rsidR="00F12D99" w:rsidRDefault="00F12D99" w:rsidP="00F12D99">
      <w:pPr>
        <w:jc w:val="center"/>
        <w:rPr>
          <w:b/>
        </w:rPr>
      </w:pPr>
      <w:r w:rsidRPr="00F12D99">
        <w:rPr>
          <w:b/>
        </w:rPr>
        <w:t xml:space="preserve"> </w:t>
      </w:r>
      <w:proofErr w:type="spellStart"/>
      <w:r w:rsidRPr="00F12D99">
        <w:rPr>
          <w:b/>
        </w:rPr>
        <w:t>Прохладненского</w:t>
      </w:r>
      <w:proofErr w:type="spellEnd"/>
      <w:r w:rsidRPr="00F12D99">
        <w:rPr>
          <w:b/>
        </w:rPr>
        <w:t xml:space="preserve"> муниципального района  КБР.</w:t>
      </w:r>
    </w:p>
    <w:p w:rsidR="00F12D99" w:rsidRPr="00F12D99" w:rsidRDefault="00F12D99" w:rsidP="00F12D99">
      <w:pPr>
        <w:jc w:val="center"/>
        <w:rPr>
          <w:b/>
        </w:rPr>
      </w:pPr>
    </w:p>
    <w:p w:rsidR="00F12D99" w:rsidRPr="00C40B3D" w:rsidRDefault="00F12D99" w:rsidP="00F12D99">
      <w:pPr>
        <w:pStyle w:val="a3"/>
        <w:numPr>
          <w:ilvl w:val="0"/>
          <w:numId w:val="1"/>
        </w:numPr>
        <w:contextualSpacing/>
        <w:rPr>
          <w:b/>
          <w:sz w:val="22"/>
        </w:rPr>
      </w:pPr>
      <w:r w:rsidRPr="00C40B3D">
        <w:rPr>
          <w:b/>
          <w:sz w:val="22"/>
        </w:rPr>
        <w:t>Общие положения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ab/>
        <w:t xml:space="preserve"> Публичный доклад – аналитический публичный документ в форме периодического отчёта образовательного учреждения перед обществом, обеспечивающий регулярное (ежегодное) информирование всех  заинтересованных сторон о состоянии и перспективах развития образовательного учреждения.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</w:t>
      </w:r>
      <w:r w:rsidRPr="00C40B3D">
        <w:rPr>
          <w:sz w:val="22"/>
        </w:rPr>
        <w:tab/>
        <w:t>Публичный доклад адресован широкому кругу читателей: представителям органов законодательной и исполнительной власти, учащимся 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ab/>
        <w:t xml:space="preserve"> Основными целями Публичного доклада являются:</w:t>
      </w:r>
    </w:p>
    <w:p w:rsidR="00F12D99" w:rsidRPr="00C40B3D" w:rsidRDefault="00F12D99" w:rsidP="00F12D99">
      <w:pPr>
        <w:pStyle w:val="a3"/>
        <w:numPr>
          <w:ilvl w:val="0"/>
          <w:numId w:val="2"/>
        </w:numPr>
        <w:contextualSpacing/>
        <w:jc w:val="both"/>
        <w:rPr>
          <w:sz w:val="22"/>
        </w:rPr>
      </w:pPr>
      <w:r w:rsidRPr="00C40B3D">
        <w:rPr>
          <w:sz w:val="22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F12D99" w:rsidRPr="00C40B3D" w:rsidRDefault="00F12D99" w:rsidP="00F12D99">
      <w:pPr>
        <w:pStyle w:val="a3"/>
        <w:numPr>
          <w:ilvl w:val="0"/>
          <w:numId w:val="2"/>
        </w:numPr>
        <w:contextualSpacing/>
        <w:jc w:val="both"/>
        <w:rPr>
          <w:sz w:val="22"/>
        </w:rPr>
      </w:pPr>
      <w:r w:rsidRPr="00C40B3D">
        <w:rPr>
          <w:sz w:val="22"/>
        </w:rPr>
        <w:t>обеспечение прозрачности функционирования образовательного учреждения;</w:t>
      </w:r>
    </w:p>
    <w:p w:rsidR="00F12D99" w:rsidRPr="00C40B3D" w:rsidRDefault="00F12D99" w:rsidP="00F12D99">
      <w:pPr>
        <w:pStyle w:val="a3"/>
        <w:numPr>
          <w:ilvl w:val="0"/>
          <w:numId w:val="2"/>
        </w:numPr>
        <w:contextualSpacing/>
        <w:jc w:val="both"/>
        <w:rPr>
          <w:sz w:val="22"/>
        </w:rPr>
      </w:pPr>
      <w:r w:rsidRPr="00C40B3D">
        <w:rPr>
          <w:sz w:val="22"/>
        </w:rPr>
        <w:t>информирование потребителей образовательных услуг о приоритетных направлениях развития муниципальной системы образования или образовательного учреждения, планируемых мероприятиях и ожидаемых результатах деятельности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>Особенности Публичного доклада:</w:t>
      </w:r>
    </w:p>
    <w:p w:rsidR="00F12D99" w:rsidRPr="00C40B3D" w:rsidRDefault="00F12D99" w:rsidP="00F12D99">
      <w:pPr>
        <w:pStyle w:val="a3"/>
        <w:numPr>
          <w:ilvl w:val="0"/>
          <w:numId w:val="3"/>
        </w:numPr>
        <w:contextualSpacing/>
        <w:jc w:val="both"/>
        <w:rPr>
          <w:sz w:val="22"/>
        </w:rPr>
      </w:pPr>
      <w:r w:rsidRPr="00C40B3D">
        <w:rPr>
          <w:sz w:val="22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F12D99" w:rsidRPr="00C40B3D" w:rsidRDefault="00F12D99" w:rsidP="00F12D99">
      <w:pPr>
        <w:pStyle w:val="a3"/>
        <w:numPr>
          <w:ilvl w:val="0"/>
          <w:numId w:val="3"/>
        </w:numPr>
        <w:contextualSpacing/>
        <w:jc w:val="both"/>
        <w:rPr>
          <w:sz w:val="22"/>
        </w:rPr>
      </w:pPr>
      <w:r w:rsidRPr="00C40B3D">
        <w:rPr>
          <w:sz w:val="22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Регулярность предоставления Публичного доклада – до 01 августа текущего года.  </w:t>
      </w:r>
    </w:p>
    <w:p w:rsidR="00F12D99" w:rsidRPr="00C40B3D" w:rsidRDefault="00F12D99" w:rsidP="00F12D99">
      <w:pPr>
        <w:pStyle w:val="a3"/>
        <w:numPr>
          <w:ilvl w:val="0"/>
          <w:numId w:val="4"/>
        </w:numPr>
        <w:contextualSpacing/>
        <w:jc w:val="both"/>
        <w:rPr>
          <w:sz w:val="22"/>
        </w:rPr>
      </w:pPr>
      <w:r w:rsidRPr="00C40B3D">
        <w:rPr>
          <w:sz w:val="22"/>
        </w:rPr>
        <w:t>утверждение перечня мероприятий, связанных с распространением Публичного доклада.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>Основными информационными  каналами для публикации Публичного доклада являются: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                     - официальный сайт образовательного учреждения;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                     - отдельно печатное или электронное издание;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                     - средства массовой информации.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</w:t>
      </w:r>
      <w:r w:rsidRPr="00C40B3D">
        <w:rPr>
          <w:sz w:val="22"/>
        </w:rPr>
        <w:tab/>
        <w:t>Наряду с распространением Публичного доклада должно организуется  обсуждение с привлечением общественных организаций и объединений.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ab/>
        <w:t>Структура Публичного доклада включает в себя  обязательную  и вариативную часть, содержание которой диктуется спецификой образовательного учреждения.</w:t>
      </w:r>
    </w:p>
    <w:p w:rsidR="00F12D99" w:rsidRPr="00C40B3D" w:rsidRDefault="00F12D99" w:rsidP="00F12D99">
      <w:pPr>
        <w:jc w:val="both"/>
        <w:rPr>
          <w:sz w:val="22"/>
        </w:rPr>
      </w:pPr>
      <w:r w:rsidRPr="00C40B3D">
        <w:rPr>
          <w:sz w:val="22"/>
        </w:rPr>
        <w:t xml:space="preserve"> Объём печатного издания не должен превышать 25 печатных листов (без приложений)</w:t>
      </w:r>
    </w:p>
    <w:p w:rsidR="00F12D99" w:rsidRPr="001B296F" w:rsidRDefault="00F12D99" w:rsidP="00F12D99">
      <w:pPr>
        <w:pStyle w:val="a3"/>
        <w:ind w:left="142"/>
        <w:contextualSpacing/>
        <w:jc w:val="both"/>
        <w:rPr>
          <w:sz w:val="22"/>
        </w:rPr>
      </w:pPr>
      <w:r w:rsidRPr="001B296F">
        <w:rPr>
          <w:sz w:val="22"/>
        </w:rPr>
        <w:t xml:space="preserve">2. </w:t>
      </w:r>
      <w:r w:rsidRPr="001B296F">
        <w:rPr>
          <w:b/>
          <w:sz w:val="22"/>
        </w:rPr>
        <w:t>Информация по СПДО для включения в доклад образовательного учреждения</w:t>
      </w:r>
      <w:r w:rsidRPr="001B296F">
        <w:rPr>
          <w:sz w:val="22"/>
        </w:rPr>
        <w:t>.</w:t>
      </w:r>
    </w:p>
    <w:p w:rsidR="00F12D99" w:rsidRPr="00F12D99" w:rsidRDefault="00F12D99" w:rsidP="00F12D99">
      <w:pPr>
        <w:jc w:val="both"/>
        <w:rPr>
          <w:i/>
          <w:sz w:val="22"/>
        </w:rPr>
      </w:pPr>
      <w:r w:rsidRPr="00F12D99">
        <w:rPr>
          <w:i/>
          <w:sz w:val="22"/>
        </w:rPr>
        <w:t xml:space="preserve">1.    Общие характеристики </w:t>
      </w:r>
      <w:r>
        <w:rPr>
          <w:i/>
          <w:sz w:val="22"/>
        </w:rPr>
        <w:t>учреждения:</w:t>
      </w:r>
      <w:r w:rsidRPr="00F12D99">
        <w:rPr>
          <w:i/>
          <w:sz w:val="22"/>
        </w:rPr>
        <w:t xml:space="preserve">    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b/>
          <w:sz w:val="22"/>
        </w:rPr>
        <w:tab/>
      </w:r>
      <w:r w:rsidRPr="001B296F">
        <w:rPr>
          <w:sz w:val="22"/>
        </w:rPr>
        <w:t>Местонахождение, удобство транспортного расположения.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Режим работы.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Правила приема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Структура и количество групп. Количество мест и воспитанников.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Наполняемость групп.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 xml:space="preserve">Наличие групп кратковременного пребывания, инновационных форм дошкольного </w:t>
      </w:r>
      <w:r w:rsidRPr="001B296F">
        <w:rPr>
          <w:sz w:val="22"/>
        </w:rPr>
        <w:tab/>
        <w:t>образования, консультационных пунктов для родителей и т.д.</w:t>
      </w:r>
      <w:proofErr w:type="gramStart"/>
      <w:r w:rsidRPr="001B296F">
        <w:rPr>
          <w:sz w:val="22"/>
        </w:rPr>
        <w:t xml:space="preserve"> ,</w:t>
      </w:r>
      <w:proofErr w:type="gramEnd"/>
      <w:r w:rsidRPr="001B296F">
        <w:rPr>
          <w:sz w:val="22"/>
        </w:rPr>
        <w:t xml:space="preserve"> включая контактную  </w:t>
      </w:r>
      <w:r w:rsidRPr="001B296F">
        <w:rPr>
          <w:sz w:val="22"/>
        </w:rPr>
        <w:tab/>
        <w:t>информацию ответственных лиц.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Органы государственно-общественного управления</w:t>
      </w:r>
    </w:p>
    <w:p w:rsidR="00F12D99" w:rsidRPr="001B296F" w:rsidRDefault="00F12D99" w:rsidP="00F12D99">
      <w:pPr>
        <w:jc w:val="both"/>
        <w:rPr>
          <w:b/>
          <w:sz w:val="22"/>
        </w:rPr>
      </w:pPr>
      <w:r w:rsidRPr="00F12D99">
        <w:rPr>
          <w:i/>
          <w:sz w:val="22"/>
        </w:rPr>
        <w:t>2.    Особенности образовательного процесса</w:t>
      </w:r>
      <w:r w:rsidRPr="001B296F">
        <w:rPr>
          <w:b/>
          <w:sz w:val="22"/>
        </w:rPr>
        <w:tab/>
        <w:t xml:space="preserve">         </w:t>
      </w:r>
      <w:r w:rsidRPr="001B296F">
        <w:rPr>
          <w:b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lastRenderedPageBreak/>
        <w:tab/>
        <w:t>Содержание обучения и воспитания детей (методики и педагогические программы), наличие экспериментальной деятельности.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 xml:space="preserve">Охрана и укрепление здоровья детей (развитие </w:t>
      </w:r>
      <w:proofErr w:type="spellStart"/>
      <w:r w:rsidRPr="001B296F">
        <w:rPr>
          <w:sz w:val="22"/>
        </w:rPr>
        <w:t>здоровьесберегающих</w:t>
      </w:r>
      <w:proofErr w:type="spellEnd"/>
      <w:r w:rsidRPr="001B296F">
        <w:rPr>
          <w:sz w:val="22"/>
        </w:rPr>
        <w:t xml:space="preserve"> технологий и среды в СПДО, мероприятия и программы, направленные на укрепление здоровья детей, наличие инклюзивных программ).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Работа специалистов (психологи, логопеды, дефектологи и т.д.)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Дополнительные образовательные и иные услуги.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 xml:space="preserve">Программы </w:t>
      </w:r>
      <w:proofErr w:type="spellStart"/>
      <w:r w:rsidRPr="001B296F">
        <w:rPr>
          <w:sz w:val="22"/>
        </w:rPr>
        <w:t>предшкольного</w:t>
      </w:r>
      <w:proofErr w:type="spellEnd"/>
      <w:r w:rsidRPr="001B296F">
        <w:rPr>
          <w:sz w:val="22"/>
        </w:rPr>
        <w:t xml:space="preserve"> образования.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Преемственность  дошкольных образовательных программ и программ начального общего образования, взаимодействие с учреждениями общего образования.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Совместная работа с организациями дополнительного образования, культуры и спорта.</w:t>
      </w:r>
    </w:p>
    <w:p w:rsidR="00F12D99" w:rsidRPr="00F12D99" w:rsidRDefault="00F12D99" w:rsidP="00F12D99">
      <w:pPr>
        <w:jc w:val="both"/>
        <w:rPr>
          <w:i/>
          <w:sz w:val="22"/>
        </w:rPr>
      </w:pPr>
      <w:r w:rsidRPr="00F12D99">
        <w:rPr>
          <w:i/>
          <w:sz w:val="22"/>
        </w:rPr>
        <w:t xml:space="preserve">3.   Условия осуществления образовательного процесса 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</w:r>
      <w:proofErr w:type="gramStart"/>
      <w:r w:rsidRPr="001B296F">
        <w:rPr>
          <w:sz w:val="22"/>
        </w:rPr>
        <w:t xml:space="preserve">Организация предметной  образовательной среды  в СПДО  и материальное оснащение (наличие специальных помещений, оборудованных для определенных видов образовательной работы (музыкальной, </w:t>
      </w:r>
      <w:proofErr w:type="spellStart"/>
      <w:r w:rsidRPr="001B296F">
        <w:rPr>
          <w:sz w:val="22"/>
        </w:rPr>
        <w:t>физкультурно-оздорорвительной</w:t>
      </w:r>
      <w:proofErr w:type="spellEnd"/>
      <w:r w:rsidRPr="001B296F">
        <w:rPr>
          <w:sz w:val="22"/>
        </w:rPr>
        <w:t>, познавательной и т.п.), обеспеченность учебными материалами, наглядными пособиями, игрушками и игровыми предметами, наличие детских библиотек.</w:t>
      </w:r>
      <w:proofErr w:type="gramEnd"/>
      <w:r w:rsidRPr="001B296F">
        <w:rPr>
          <w:sz w:val="22"/>
        </w:rPr>
        <w:t xml:space="preserve"> Использование компьютера в образовательной работе с детьми и т.д</w:t>
      </w:r>
      <w:proofErr w:type="gramStart"/>
      <w:r w:rsidRPr="001B296F">
        <w:rPr>
          <w:sz w:val="22"/>
        </w:rPr>
        <w:t>.У</w:t>
      </w:r>
      <w:proofErr w:type="gramEnd"/>
      <w:r w:rsidRPr="001B296F">
        <w:rPr>
          <w:sz w:val="22"/>
        </w:rPr>
        <w:t>словия для детей с ограниченными возможностями здоровья Обеспечение безопасности  жизни и деятельности в здании и на прилегающей к СПДО территории.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Медицинское обслуживание.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Материально-техническая база (состояние здания, наличие всех видов благоустройства, бытовые условия в группах и специализированных кабинетах).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Качество и организация питания.</w:t>
      </w:r>
    </w:p>
    <w:p w:rsidR="00F12D99" w:rsidRPr="00F12D99" w:rsidRDefault="00F12D99" w:rsidP="00F12D99">
      <w:pPr>
        <w:jc w:val="both"/>
        <w:rPr>
          <w:i/>
          <w:sz w:val="22"/>
        </w:rPr>
      </w:pPr>
      <w:r w:rsidRPr="00F12D99">
        <w:rPr>
          <w:i/>
          <w:sz w:val="22"/>
        </w:rPr>
        <w:t>4.    Кадровый потенциал</w:t>
      </w:r>
      <w:r w:rsidRPr="00F12D99">
        <w:rPr>
          <w:i/>
          <w:sz w:val="22"/>
        </w:rPr>
        <w:tab/>
        <w:t xml:space="preserve">   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Качественный и количественный состав персонал</w:t>
      </w:r>
      <w:proofErr w:type="gramStart"/>
      <w:r w:rsidRPr="001B296F">
        <w:rPr>
          <w:sz w:val="22"/>
        </w:rPr>
        <w:t>а(</w:t>
      </w:r>
      <w:proofErr w:type="gramEnd"/>
      <w:r w:rsidRPr="001B296F">
        <w:rPr>
          <w:sz w:val="22"/>
        </w:rPr>
        <w:t>возраст, образование, переподготовка, освоение новых технологий), динамика изменений, вакансии.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Соотношение воспитанников, приходящихся на 1  взрослого </w:t>
      </w:r>
      <w:proofErr w:type="gramStart"/>
      <w:r w:rsidRPr="001B296F">
        <w:rPr>
          <w:sz w:val="22"/>
        </w:rPr>
        <w:t xml:space="preserve">( </w:t>
      </w:r>
      <w:proofErr w:type="gramEnd"/>
      <w:r w:rsidRPr="001B296F">
        <w:rPr>
          <w:sz w:val="22"/>
        </w:rPr>
        <w:t>воспитанники/педагоги, воспитанники/ все сотрудники, включая административный и обслуживающий персонал)</w:t>
      </w:r>
      <w:r w:rsidRPr="001B296F">
        <w:rPr>
          <w:sz w:val="22"/>
        </w:rPr>
        <w:tab/>
      </w:r>
    </w:p>
    <w:p w:rsidR="00F12D99" w:rsidRPr="00F12D99" w:rsidRDefault="00F12D99" w:rsidP="00F12D99">
      <w:pPr>
        <w:jc w:val="both"/>
        <w:rPr>
          <w:i/>
          <w:sz w:val="22"/>
        </w:rPr>
      </w:pPr>
      <w:r w:rsidRPr="00F12D99">
        <w:rPr>
          <w:i/>
          <w:sz w:val="22"/>
        </w:rPr>
        <w:t xml:space="preserve">5.     Финансовые ресурсы СПДО  и их использование        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Бюджетное финансирование. Распределение средств бюджета учреждения по источникам их получения. Структура расходов СПДО.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Расходы на 1 воспитанника  в динамике.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Внебюджетная деятельность. Наличие фонда поддержки</w:t>
      </w:r>
      <w:proofErr w:type="gramStart"/>
      <w:r w:rsidRPr="001B296F">
        <w:rPr>
          <w:sz w:val="22"/>
        </w:rPr>
        <w:t xml:space="preserve"> ,</w:t>
      </w:r>
      <w:proofErr w:type="gramEnd"/>
      <w:r w:rsidRPr="001B296F">
        <w:rPr>
          <w:sz w:val="22"/>
        </w:rPr>
        <w:t xml:space="preserve"> объем средств фонда, структура доходов и расходов фонда.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Наличие и стоимость дополнительных платных услуг.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Льготы для отдельных категорий воспитанников и условия их получения</w:t>
      </w:r>
    </w:p>
    <w:p w:rsidR="00F12D99" w:rsidRPr="00F12D99" w:rsidRDefault="00F12D99" w:rsidP="00F12D99">
      <w:pPr>
        <w:jc w:val="both"/>
        <w:rPr>
          <w:i/>
          <w:sz w:val="22"/>
        </w:rPr>
      </w:pPr>
      <w:r w:rsidRPr="00F12D99">
        <w:rPr>
          <w:i/>
          <w:sz w:val="22"/>
        </w:rPr>
        <w:t>6. Заключение.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Перспективы и планы развития СПДО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Выводы по проведенному анализу и перспективы развития.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План развития и приоритетные задачи на следующий год.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Мнение родителей и представителей органов общественного управления о деятельности педагогов, функционировании СПДО и качестве предоставляемых им услугах.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Информация СМИ о деятельности СПДО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 </w:t>
      </w:r>
    </w:p>
    <w:p w:rsidR="00F12D99" w:rsidRPr="001B296F" w:rsidRDefault="00F12D99" w:rsidP="00F12D99">
      <w:pPr>
        <w:pStyle w:val="a3"/>
        <w:numPr>
          <w:ilvl w:val="0"/>
          <w:numId w:val="5"/>
        </w:numPr>
        <w:contextualSpacing/>
        <w:jc w:val="both"/>
        <w:rPr>
          <w:sz w:val="22"/>
        </w:rPr>
      </w:pPr>
      <w:r w:rsidRPr="001B296F">
        <w:rPr>
          <w:b/>
          <w:sz w:val="22"/>
        </w:rPr>
        <w:t>Информация для включения в Публичный доклад общеобразовательного учреждения</w:t>
      </w:r>
      <w:r w:rsidRPr="001B296F">
        <w:rPr>
          <w:sz w:val="22"/>
        </w:rPr>
        <w:t>.</w:t>
      </w:r>
    </w:p>
    <w:p w:rsidR="00F12D99" w:rsidRPr="001B296F" w:rsidRDefault="00F12D99" w:rsidP="00F12D99">
      <w:pPr>
        <w:jc w:val="both"/>
        <w:rPr>
          <w:b/>
          <w:sz w:val="22"/>
        </w:rPr>
      </w:pPr>
      <w:r w:rsidRPr="001B296F">
        <w:rPr>
          <w:b/>
          <w:sz w:val="22"/>
        </w:rPr>
        <w:t>Содержание: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1.Общая характеристика ОУ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Тип, вид, статус учреждения.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Лицензия на образовательную деятельность, государственная аккредитация.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Характеристика контингента учащихся.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Администрация, органы государственно-общественного управления и самоуправления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 Наличие программ развития.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2.Особенности образовательного процесса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Характеристика образовательных программ по ступеням обучения.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Дополнительные образовательные услуги.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Организация изучения иностранных языков.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lastRenderedPageBreak/>
        <w:t>Инновационные образовательные программы и технологии, в частности, информационные технологии.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Виды внеклассной, внеурочной деятельности. Система  работы с органами профилактики правонарушений.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Научные общества, творческие объединения, кружки, секции.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Характеристика системы </w:t>
      </w:r>
      <w:proofErr w:type="spellStart"/>
      <w:r w:rsidRPr="001B296F">
        <w:rPr>
          <w:sz w:val="22"/>
        </w:rPr>
        <w:t>психолого-медико-социального</w:t>
      </w:r>
      <w:proofErr w:type="spellEnd"/>
      <w:r w:rsidRPr="001B296F">
        <w:rPr>
          <w:sz w:val="22"/>
        </w:rPr>
        <w:t xml:space="preserve"> сопровождения (логопеды, психологи, социальные педагоги).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 Характеристика </w:t>
      </w:r>
      <w:proofErr w:type="spellStart"/>
      <w:r w:rsidRPr="001B296F">
        <w:rPr>
          <w:sz w:val="22"/>
        </w:rPr>
        <w:t>внутришкольной</w:t>
      </w:r>
      <w:proofErr w:type="spellEnd"/>
      <w:r w:rsidRPr="001B296F">
        <w:rPr>
          <w:sz w:val="22"/>
        </w:rPr>
        <w:t xml:space="preserve"> системы оценки качества образования.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3.Условия осуществления образовательного процесса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Режим работы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Учебно-материальная база, благоустройство и оснащённость.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И</w:t>
      </w:r>
      <w:proofErr w:type="gramStart"/>
      <w:r w:rsidRPr="001B296F">
        <w:rPr>
          <w:sz w:val="22"/>
        </w:rPr>
        <w:t>Т-</w:t>
      </w:r>
      <w:proofErr w:type="gramEnd"/>
      <w:r w:rsidRPr="001B296F">
        <w:rPr>
          <w:sz w:val="22"/>
        </w:rPr>
        <w:t xml:space="preserve"> Инфраструктура.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Условия для занятий физкультурой и спортом.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Условия для </w:t>
      </w:r>
      <w:proofErr w:type="spellStart"/>
      <w:r w:rsidRPr="001B296F">
        <w:rPr>
          <w:sz w:val="22"/>
        </w:rPr>
        <w:t>досуговой</w:t>
      </w:r>
      <w:proofErr w:type="spellEnd"/>
      <w:r w:rsidRPr="001B296F">
        <w:rPr>
          <w:sz w:val="22"/>
        </w:rPr>
        <w:t xml:space="preserve"> деятельности и дополнительного образования.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Организация охраны, питания, медицинского обслуживания.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Условия для обучения учащихся с ограниченными возможностями здоровья.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Кадровый состав (административный педагогический вспомогательный, уровень квалификации, награды, звания, заслуги),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 Средняя наполняемость классов.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4.Результативная деятельность учреждения,  качество образования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Результаты ЕГЭ.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Результаты государственной (итоговой) аттестации в 9-х классах.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Достижения учащихся в олимпиадах (региональных и всероссийских).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Данные о поступлении в профессиональные учебные заведения.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Данные о достижениях в проблемах социализации обучающихся (правонарушения, поведенческие риски).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Данные о состоянии здоровья </w:t>
      </w:r>
      <w:proofErr w:type="gramStart"/>
      <w:r w:rsidRPr="001B296F">
        <w:rPr>
          <w:sz w:val="22"/>
        </w:rPr>
        <w:t>обучающихся</w:t>
      </w:r>
      <w:proofErr w:type="gramEnd"/>
      <w:r w:rsidRPr="001B296F">
        <w:rPr>
          <w:sz w:val="22"/>
        </w:rPr>
        <w:t xml:space="preserve"> (в динамике по группам здоровья).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 Достижения учащихся и их коллективов (объединений, команд)  в районных,  республиканских и федеральных конкурсах, соревнованиях.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Достижения учреждений в конкурсах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Оценки и отзывы потребителей образовательных услуг.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5.Социальная активность и внешние связи учреждения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Проекты и мероприятия, реализуемые в интересах и с участием местного сообщества, социальные партнёры учреждения.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Спонсоры учреждения, благотворительные  фонды,  с которыми работает школа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Проекты и программы, поддерживаемые партнёрами школы.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 xml:space="preserve">Взаимодействие с учреждениями </w:t>
      </w:r>
      <w:proofErr w:type="spellStart"/>
      <w:r w:rsidRPr="001B296F">
        <w:rPr>
          <w:sz w:val="22"/>
        </w:rPr>
        <w:t>профессинального</w:t>
      </w:r>
      <w:proofErr w:type="spellEnd"/>
      <w:r w:rsidRPr="001B296F">
        <w:rPr>
          <w:sz w:val="22"/>
        </w:rPr>
        <w:t xml:space="preserve">  образования.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Членство в ассоциациях, профессиональных объединениях.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6.Финансовоэкономическая деятельность учреждения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Годовой бюджет.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Распределение средств бюджета.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Направление использования бюджетных средств.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Использование средств от предпринимательской деятельности.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Стоимость платных услуг.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7. Решения,  принятые по итогам общественного обсуждения.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Информация, связанная с исполнением решений, которые принимаются ОУ с учетом общественной оценки её деятельности по итогам публикации предыдущего доклада.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ab/>
        <w:t>Информация о решениях, принятых ОУ в течение  учебного года по итогам общественного обсуждения и их реализации</w:t>
      </w:r>
    </w:p>
    <w:p w:rsidR="00F12D99" w:rsidRPr="00F12D99" w:rsidRDefault="00F12D99" w:rsidP="00F12D99">
      <w:pPr>
        <w:ind w:firstLine="708"/>
        <w:jc w:val="both"/>
        <w:rPr>
          <w:i/>
          <w:sz w:val="22"/>
        </w:rPr>
      </w:pPr>
      <w:r w:rsidRPr="00F12D99">
        <w:rPr>
          <w:i/>
          <w:sz w:val="22"/>
        </w:rPr>
        <w:t>8.Заключение</w:t>
      </w:r>
      <w:r w:rsidRPr="00F12D99">
        <w:rPr>
          <w:i/>
          <w:sz w:val="22"/>
        </w:rPr>
        <w:tab/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Задачи реализации программы развития ОУ в среднесрочной перспективе.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Новые проекты, программы и технологии.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Планируемые структурные преобразования в учреждении.</w:t>
      </w:r>
    </w:p>
    <w:p w:rsidR="00F12D99" w:rsidRPr="001B296F" w:rsidRDefault="00F12D99" w:rsidP="00F12D99">
      <w:pPr>
        <w:jc w:val="both"/>
        <w:rPr>
          <w:sz w:val="22"/>
        </w:rPr>
      </w:pPr>
      <w:r w:rsidRPr="001B296F">
        <w:rPr>
          <w:sz w:val="22"/>
        </w:rPr>
        <w:t>Программы, проекты, конкурсы, гранты, в которых планирует учреждение принять участие в предстоящем году.</w:t>
      </w:r>
    </w:p>
    <w:p w:rsidR="00F12D99" w:rsidRPr="001B296F" w:rsidRDefault="00F12D99" w:rsidP="00F12D99">
      <w:pPr>
        <w:jc w:val="both"/>
        <w:rPr>
          <w:sz w:val="22"/>
        </w:rPr>
      </w:pPr>
    </w:p>
    <w:p w:rsidR="00F12D99" w:rsidRPr="001B296F" w:rsidRDefault="00F12D99" w:rsidP="00F12D99">
      <w:pPr>
        <w:jc w:val="both"/>
        <w:rPr>
          <w:sz w:val="22"/>
        </w:rPr>
      </w:pPr>
    </w:p>
    <w:p w:rsidR="00F12D99" w:rsidRDefault="00F12D99" w:rsidP="00F12D99">
      <w:pPr>
        <w:jc w:val="both"/>
      </w:pPr>
    </w:p>
    <w:p w:rsidR="00F12D99" w:rsidRDefault="00F12D99" w:rsidP="00F12D99">
      <w:pPr>
        <w:jc w:val="both"/>
      </w:pPr>
    </w:p>
    <w:sectPr w:rsidR="00F12D99" w:rsidSect="00F12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41D"/>
    <w:multiLevelType w:val="hybridMultilevel"/>
    <w:tmpl w:val="D90E6ABC"/>
    <w:lvl w:ilvl="0" w:tplc="F23801F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20DFE"/>
    <w:multiLevelType w:val="hybridMultilevel"/>
    <w:tmpl w:val="19A0863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A31E0"/>
    <w:multiLevelType w:val="hybridMultilevel"/>
    <w:tmpl w:val="7C76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B223C"/>
    <w:multiLevelType w:val="hybridMultilevel"/>
    <w:tmpl w:val="1D0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B18A9"/>
    <w:multiLevelType w:val="hybridMultilevel"/>
    <w:tmpl w:val="A704DA32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2D99"/>
    <w:rsid w:val="003C2E4E"/>
    <w:rsid w:val="0079622F"/>
    <w:rsid w:val="00866130"/>
    <w:rsid w:val="00892F39"/>
    <w:rsid w:val="00997C70"/>
    <w:rsid w:val="00DE4410"/>
    <w:rsid w:val="00F1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99"/>
    <w:pPr>
      <w:ind w:left="708"/>
    </w:pPr>
  </w:style>
  <w:style w:type="paragraph" w:styleId="a4">
    <w:name w:val="No Spacing"/>
    <w:uiPriority w:val="1"/>
    <w:qFormat/>
    <w:rsid w:val="00F12D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Марат</cp:lastModifiedBy>
  <cp:revision>4</cp:revision>
  <cp:lastPrinted>2014-02-11T12:54:00Z</cp:lastPrinted>
  <dcterms:created xsi:type="dcterms:W3CDTF">2014-02-10T14:03:00Z</dcterms:created>
  <dcterms:modified xsi:type="dcterms:W3CDTF">2018-08-15T07:12:00Z</dcterms:modified>
</cp:coreProperties>
</file>